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63B1A" w14:textId="376C086B" w:rsidR="00D54E67" w:rsidRPr="00547FE4" w:rsidRDefault="00D54E67" w:rsidP="00D54E67">
      <w:pPr>
        <w:pStyle w:val="CRCoverPage"/>
        <w:tabs>
          <w:tab w:val="left" w:pos="1701"/>
        </w:tabs>
        <w:outlineLvl w:val="0"/>
        <w:rPr>
          <w:rFonts w:eastAsiaTheme="minorEastAsia" w:cs="Arial"/>
          <w:b/>
          <w:noProof/>
          <w:sz w:val="22"/>
          <w:lang w:val="en-US"/>
        </w:rPr>
      </w:pPr>
      <w:r w:rsidRPr="005439C3">
        <w:rPr>
          <w:rFonts w:eastAsiaTheme="minorEastAsia" w:cs="Arial"/>
          <w:b/>
          <w:noProof/>
          <w:sz w:val="22"/>
          <w:lang w:val="en-US"/>
        </w:rPr>
        <w:t>3GPP TSG RAN WG1 #103-e</w:t>
      </w:r>
      <w:r w:rsidRPr="00547FE4">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t>R1-</w:t>
      </w:r>
      <w:r w:rsidR="00F8193D">
        <w:rPr>
          <w:rFonts w:eastAsiaTheme="minorEastAsia" w:cs="Arial"/>
          <w:b/>
          <w:noProof/>
          <w:sz w:val="22"/>
          <w:lang w:val="en-US"/>
        </w:rPr>
        <w:t>2009020</w:t>
      </w:r>
    </w:p>
    <w:p w14:paraId="4DA64536" w14:textId="77777777" w:rsidR="00D54E67" w:rsidRPr="00876B0E" w:rsidRDefault="00D54E67" w:rsidP="00D54E67">
      <w:pPr>
        <w:pStyle w:val="CRCoverPage"/>
        <w:tabs>
          <w:tab w:val="left" w:pos="1701"/>
        </w:tabs>
        <w:outlineLvl w:val="0"/>
        <w:rPr>
          <w:rFonts w:eastAsiaTheme="minorEastAsia" w:cs="Arial"/>
          <w:b/>
          <w:noProof/>
          <w:sz w:val="22"/>
        </w:rPr>
      </w:pPr>
      <w:r w:rsidRPr="005439C3">
        <w:rPr>
          <w:rFonts w:eastAsiaTheme="minorEastAsia" w:cs="Arial"/>
          <w:b/>
          <w:noProof/>
          <w:sz w:val="22"/>
          <w:lang w:val="en-US"/>
        </w:rPr>
        <w:t>e-Meeting, October 26th – November 13th, 2020</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15B3225"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85104D" w:rsidRPr="0085104D">
        <w:rPr>
          <w:rFonts w:cs="Arial"/>
          <w:b/>
          <w:lang w:eastAsia="ko-KR"/>
        </w:rPr>
        <w:t>Other enhancements to IAB</w:t>
      </w:r>
    </w:p>
    <w:p w14:paraId="3EA48139" w14:textId="730973A4"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85104D" w:rsidRPr="0085104D">
        <w:rPr>
          <w:rFonts w:cs="Arial"/>
          <w:b/>
          <w:lang w:eastAsia="ko-KR"/>
        </w:rPr>
        <w:t>8.10.</w:t>
      </w:r>
      <w:r w:rsidR="000F393F">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49DAB4A1" w14:textId="2F827473" w:rsidR="00F8193D" w:rsidRDefault="00F8193D" w:rsidP="00F8193D">
      <w:pPr>
        <w:spacing w:after="180"/>
        <w:rPr>
          <w:szCs w:val="22"/>
          <w:lang w:eastAsia="ko-KR"/>
        </w:rPr>
      </w:pPr>
      <w:r>
        <w:rPr>
          <w:szCs w:val="22"/>
          <w:lang w:eastAsia="ko-KR"/>
        </w:rPr>
        <w:t xml:space="preserve">The Rel-17 IAB enhancement work item was approved in RAN#86 meeting and it contains several specification aspects regarding the simultaneous operation in its scope </w:t>
      </w:r>
      <w:r>
        <w:rPr>
          <w:szCs w:val="22"/>
          <w:lang w:eastAsia="ko-KR"/>
        </w:rPr>
        <w:fldChar w:fldCharType="begin"/>
      </w:r>
      <w:r>
        <w:rPr>
          <w:szCs w:val="22"/>
          <w:lang w:eastAsia="ko-KR"/>
        </w:rPr>
        <w:instrText xml:space="preserve"> REF _Ref54370843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F8193D" w:rsidRPr="000765D0" w14:paraId="3E3EC7E3" w14:textId="77777777" w:rsidTr="00C2648E">
        <w:tc>
          <w:tcPr>
            <w:tcW w:w="9962" w:type="dxa"/>
          </w:tcPr>
          <w:p w14:paraId="66504E37" w14:textId="77777777" w:rsidR="00F8193D" w:rsidRDefault="00F8193D" w:rsidP="00C2648E">
            <w:pPr>
              <w:spacing w:after="120"/>
              <w:rPr>
                <w:bCs/>
              </w:rPr>
            </w:pPr>
            <w:r>
              <w:rPr>
                <w:bCs/>
              </w:rPr>
              <w:t>Duplexing enhancements [RAN1-led, RAN2, RAN3, RAN4]:</w:t>
            </w:r>
          </w:p>
          <w:p w14:paraId="31D589FE" w14:textId="77777777" w:rsidR="00F8193D" w:rsidRDefault="00F8193D" w:rsidP="00F8193D">
            <w:pPr>
              <w:pStyle w:val="afb"/>
              <w:numPr>
                <w:ilvl w:val="0"/>
                <w:numId w:val="27"/>
              </w:numPr>
              <w:spacing w:line="240" w:lineRule="auto"/>
              <w:ind w:leftChars="0"/>
              <w:jc w:val="left"/>
              <w:rPr>
                <w:lang w:val="en-US"/>
              </w:rPr>
            </w:pPr>
            <w:r>
              <w:t>Specification of enhancements to the resource multiplexing between child and parent links of an IAB node, including:</w:t>
            </w:r>
          </w:p>
          <w:p w14:paraId="681BB255" w14:textId="77777777" w:rsidR="00F8193D" w:rsidRDefault="00F8193D" w:rsidP="00F8193D">
            <w:pPr>
              <w:pStyle w:val="afb"/>
              <w:numPr>
                <w:ilvl w:val="1"/>
                <w:numId w:val="27"/>
              </w:numPr>
              <w:spacing w:line="240" w:lineRule="auto"/>
              <w:ind w:leftChars="0"/>
              <w:jc w:val="left"/>
            </w:pPr>
            <w:bookmarkStart w:id="1"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099557A6" w14:textId="77777777" w:rsidR="00F8193D" w:rsidRDefault="00F8193D" w:rsidP="00F8193D">
            <w:pPr>
              <w:pStyle w:val="afb"/>
              <w:numPr>
                <w:ilvl w:val="1"/>
                <w:numId w:val="27"/>
              </w:numPr>
              <w:spacing w:line="240" w:lineRule="auto"/>
              <w:ind w:leftChars="0"/>
              <w:jc w:val="left"/>
            </w:pPr>
            <w:r>
              <w:t xml:space="preserve">Support for </w:t>
            </w:r>
            <w:r w:rsidRPr="00660873">
              <w:t>dual-</w:t>
            </w:r>
            <w:r>
              <w:t>connectivity scenarios defined by RAN2/RAN3 in the context of topology redundancy for improved robustness and load balancing.</w:t>
            </w:r>
          </w:p>
          <w:bookmarkEnd w:id="1"/>
          <w:p w14:paraId="41503CF1" w14:textId="77777777" w:rsidR="00F8193D" w:rsidRPr="000765D0" w:rsidRDefault="00F8193D" w:rsidP="00F8193D">
            <w:pPr>
              <w:pStyle w:val="afb"/>
              <w:numPr>
                <w:ilvl w:val="0"/>
                <w:numId w:val="27"/>
              </w:numPr>
              <w:spacing w:line="240" w:lineRule="auto"/>
              <w:ind w:leftChars="0"/>
              <w:jc w:val="left"/>
            </w:pPr>
            <w:r w:rsidRPr="00660873">
              <w:t>Specification of IAB-node timing mode(s), extensions for DL/UL power control, and CLI and interference measurements of BH links, as needed, to support simultaneous operation (transmission and/or reception) by IAB-node’s child and parent links.</w:t>
            </w:r>
          </w:p>
        </w:tc>
      </w:tr>
    </w:tbl>
    <w:p w14:paraId="37B81B29" w14:textId="77CF72CA"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6A3BDF">
        <w:rPr>
          <w:szCs w:val="22"/>
          <w:lang w:eastAsia="ko-KR"/>
        </w:rPr>
        <w:t>forward compatibility issues when designing Rel-17 IAB simultaneous operation enhancements such as timing alignment and power control.</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2070E853" w14:textId="6D63C958" w:rsidR="00C0781B" w:rsidRDefault="006A5BDD" w:rsidP="00CE7ABF">
      <w:pPr>
        <w:spacing w:after="180" w:line="336" w:lineRule="auto"/>
        <w:rPr>
          <w:lang w:val="en-US" w:eastAsia="ko-KR"/>
        </w:rPr>
      </w:pPr>
      <w:r>
        <w:rPr>
          <w:lang w:val="en-US" w:eastAsia="ko-KR"/>
        </w:rPr>
        <w:t xml:space="preserve">As described in the WID </w:t>
      </w:r>
      <w:r>
        <w:rPr>
          <w:lang w:val="en-US" w:eastAsia="ko-KR"/>
        </w:rPr>
        <w:fldChar w:fldCharType="begin"/>
      </w:r>
      <w:r>
        <w:rPr>
          <w:lang w:val="en-US" w:eastAsia="ko-KR"/>
        </w:rPr>
        <w:instrText xml:space="preserve"> REF _Ref54370843 \r \h </w:instrText>
      </w:r>
      <w:r>
        <w:rPr>
          <w:lang w:val="en-US" w:eastAsia="ko-KR"/>
        </w:rPr>
      </w:r>
      <w:r>
        <w:rPr>
          <w:lang w:val="en-US" w:eastAsia="ko-KR"/>
        </w:rPr>
        <w:fldChar w:fldCharType="separate"/>
      </w:r>
      <w:r>
        <w:rPr>
          <w:lang w:val="en-US" w:eastAsia="ko-KR"/>
        </w:rPr>
        <w:t>[1]</w:t>
      </w:r>
      <w:r>
        <w:rPr>
          <w:lang w:val="en-US" w:eastAsia="ko-KR"/>
        </w:rPr>
        <w:fldChar w:fldCharType="end"/>
      </w:r>
      <w:r>
        <w:rPr>
          <w:lang w:val="en-US" w:eastAsia="ko-KR"/>
        </w:rPr>
        <w:t>, in Rel-17 IAB specification, several enhancements on the simultaneous operation are expected to be introduced including IAB-node timing, DL/UL power control, CLI/interference measurements, and so on.</w:t>
      </w:r>
    </w:p>
    <w:p w14:paraId="1DFEA7C7" w14:textId="5B5BA6FA" w:rsidR="00C0781B" w:rsidRDefault="00793C26" w:rsidP="00CE7ABF">
      <w:pPr>
        <w:spacing w:after="180" w:line="336" w:lineRule="auto"/>
        <w:rPr>
          <w:lang w:val="en-US" w:eastAsia="ko-KR"/>
        </w:rPr>
      </w:pPr>
      <w:r>
        <w:rPr>
          <w:rFonts w:hint="eastAsia"/>
          <w:lang w:val="en-US" w:eastAsia="ko-KR"/>
        </w:rPr>
        <w:t>R</w:t>
      </w:r>
      <w:r>
        <w:rPr>
          <w:lang w:val="en-US" w:eastAsia="ko-KR"/>
        </w:rPr>
        <w:t xml:space="preserve">egarding the relaying scenario for the IAB, although the need for mobile relaying-based IAB such as buses and trains was identified, only fixed relaying was included in the scope of Rel-17 IAB WID. </w:t>
      </w:r>
      <w:r w:rsidR="0024248D">
        <w:rPr>
          <w:lang w:val="en-US" w:eastAsia="ko-KR"/>
        </w:rPr>
        <w:t xml:space="preserve">However, </w:t>
      </w:r>
      <w:r w:rsidR="006A52A8">
        <w:rPr>
          <w:rFonts w:hint="eastAsia"/>
          <w:lang w:val="en-US" w:eastAsia="ko-KR"/>
        </w:rPr>
        <w:t>deploying</w:t>
      </w:r>
      <w:r w:rsidR="006A52A8">
        <w:rPr>
          <w:lang w:val="en-US" w:eastAsia="ko-KR"/>
        </w:rPr>
        <w:t xml:space="preserve"> </w:t>
      </w:r>
      <w:r w:rsidR="006A52A8">
        <w:rPr>
          <w:rFonts w:hint="eastAsia"/>
          <w:lang w:val="en-US" w:eastAsia="ko-KR"/>
        </w:rPr>
        <w:t>IAB</w:t>
      </w:r>
      <w:r w:rsidR="006A52A8">
        <w:rPr>
          <w:lang w:val="en-US" w:eastAsia="ko-KR"/>
        </w:rPr>
        <w:t xml:space="preserve"> </w:t>
      </w:r>
      <w:r w:rsidR="006A52A8">
        <w:rPr>
          <w:rFonts w:hint="eastAsia"/>
          <w:lang w:val="en-US" w:eastAsia="ko-KR"/>
        </w:rPr>
        <w:t>through</w:t>
      </w:r>
      <w:r w:rsidR="006A52A8">
        <w:rPr>
          <w:lang w:val="en-US" w:eastAsia="ko-KR"/>
        </w:rPr>
        <w:t xml:space="preserve"> mobile relaying has several advantages over direct access </w:t>
      </w:r>
      <w:r w:rsidR="006A52A8">
        <w:rPr>
          <w:rFonts w:hint="eastAsia"/>
          <w:lang w:val="en-US" w:eastAsia="ko-KR"/>
        </w:rPr>
        <w:t>of</w:t>
      </w:r>
      <w:r w:rsidR="006A52A8">
        <w:rPr>
          <w:lang w:val="en-US" w:eastAsia="ko-KR"/>
        </w:rPr>
        <w:t xml:space="preserve"> </w:t>
      </w:r>
      <w:r w:rsidR="006A52A8">
        <w:rPr>
          <w:rFonts w:hint="eastAsia"/>
          <w:lang w:val="en-US" w:eastAsia="ko-KR"/>
        </w:rPr>
        <w:t>each</w:t>
      </w:r>
      <w:r w:rsidR="006A52A8">
        <w:rPr>
          <w:lang w:val="en-US" w:eastAsia="ko-KR"/>
        </w:rPr>
        <w:t xml:space="preserve"> </w:t>
      </w:r>
      <w:r w:rsidR="006A52A8">
        <w:rPr>
          <w:rFonts w:hint="eastAsia"/>
          <w:lang w:val="en-US" w:eastAsia="ko-KR"/>
        </w:rPr>
        <w:t>pass</w:t>
      </w:r>
      <w:r w:rsidR="006A52A8">
        <w:rPr>
          <w:lang w:val="en-US" w:eastAsia="ko-KR"/>
        </w:rPr>
        <w:t xml:space="preserve">enger to the </w:t>
      </w:r>
      <w:proofErr w:type="spellStart"/>
      <w:r w:rsidR="006A52A8">
        <w:rPr>
          <w:lang w:val="en-US" w:eastAsia="ko-KR"/>
        </w:rPr>
        <w:t>gNodeB</w:t>
      </w:r>
      <w:proofErr w:type="spellEnd"/>
      <w:r w:rsidR="006A52A8">
        <w:rPr>
          <w:lang w:val="en-US" w:eastAsia="ko-KR"/>
        </w:rPr>
        <w:t>, as follows:</w:t>
      </w:r>
    </w:p>
    <w:p w14:paraId="2B5F47C2" w14:textId="60FA1FB2" w:rsidR="006A52A8" w:rsidRPr="006A52A8" w:rsidRDefault="006A52A8" w:rsidP="00D15B08">
      <w:pPr>
        <w:pStyle w:val="afb"/>
        <w:numPr>
          <w:ilvl w:val="1"/>
          <w:numId w:val="16"/>
        </w:numPr>
        <w:spacing w:after="100" w:afterAutospacing="1" w:line="336" w:lineRule="auto"/>
        <w:ind w:leftChars="0" w:left="1202" w:hanging="403"/>
        <w:rPr>
          <w:lang w:eastAsia="ko-KR"/>
        </w:rPr>
      </w:pPr>
      <w:r>
        <w:rPr>
          <w:lang w:eastAsia="ko-KR"/>
        </w:rPr>
        <w:t>B</w:t>
      </w:r>
      <w:r w:rsidRPr="006A52A8">
        <w:rPr>
          <w:lang w:eastAsia="ko-KR"/>
        </w:rPr>
        <w:t>y relaying signals</w:t>
      </w:r>
      <w:r>
        <w:rPr>
          <w:lang w:eastAsia="ko-KR"/>
        </w:rPr>
        <w:t xml:space="preserve"> </w:t>
      </w:r>
      <w:r w:rsidRPr="006A52A8">
        <w:rPr>
          <w:lang w:eastAsia="ko-KR"/>
        </w:rPr>
        <w:t xml:space="preserve">through the </w:t>
      </w:r>
      <w:r w:rsidRPr="006A52A8">
        <w:rPr>
          <w:lang w:eastAsia="ko-KR"/>
        </w:rPr>
        <w:t xml:space="preserve">mobile </w:t>
      </w:r>
      <w:r w:rsidRPr="006A52A8">
        <w:rPr>
          <w:lang w:eastAsia="ko-KR"/>
        </w:rPr>
        <w:t>relay, it is possible to avoid severe</w:t>
      </w:r>
      <w:r w:rsidRPr="006A52A8">
        <w:rPr>
          <w:lang w:eastAsia="ko-KR"/>
        </w:rPr>
        <w:t xml:space="preserve"> </w:t>
      </w:r>
      <w:r w:rsidRPr="006A52A8">
        <w:rPr>
          <w:lang w:eastAsia="ko-KR"/>
        </w:rPr>
        <w:t>signal penetration loss due to a metallic vehicle body</w:t>
      </w:r>
      <w:r w:rsidRPr="006A52A8">
        <w:rPr>
          <w:lang w:eastAsia="ko-KR"/>
        </w:rPr>
        <w:t>.</w:t>
      </w:r>
      <w:r w:rsidRPr="006A52A8">
        <w:rPr>
          <w:lang w:eastAsia="ko-KR"/>
        </w:rPr>
        <w:t xml:space="preserve"> </w:t>
      </w:r>
    </w:p>
    <w:p w14:paraId="146A072B" w14:textId="2B4E3894" w:rsidR="00D15B08" w:rsidRDefault="006A52A8" w:rsidP="00D15B08">
      <w:pPr>
        <w:pStyle w:val="afb"/>
        <w:numPr>
          <w:ilvl w:val="1"/>
          <w:numId w:val="16"/>
        </w:numPr>
        <w:spacing w:after="100" w:afterAutospacing="1" w:line="336" w:lineRule="auto"/>
        <w:ind w:leftChars="0" w:left="1202" w:hanging="403"/>
        <w:rPr>
          <w:lang w:eastAsia="ko-KR"/>
        </w:rPr>
      </w:pPr>
      <w:r w:rsidRPr="006A52A8">
        <w:rPr>
          <w:lang w:eastAsia="ko-KR"/>
        </w:rPr>
        <w:t>T</w:t>
      </w:r>
      <w:r w:rsidRPr="006A52A8">
        <w:rPr>
          <w:lang w:eastAsia="ko-KR"/>
        </w:rPr>
        <w:t>he relaying architecture is</w:t>
      </w:r>
      <w:r w:rsidRPr="006A52A8">
        <w:rPr>
          <w:lang w:eastAsia="ko-KR"/>
        </w:rPr>
        <w:t xml:space="preserve"> </w:t>
      </w:r>
      <w:r w:rsidRPr="006A52A8">
        <w:rPr>
          <w:lang w:eastAsia="ko-KR"/>
        </w:rPr>
        <w:t>also advantageous to avoid the problem of so-called signaling</w:t>
      </w:r>
      <w:r w:rsidRPr="006A52A8">
        <w:rPr>
          <w:lang w:eastAsia="ko-KR"/>
        </w:rPr>
        <w:t xml:space="preserve"> </w:t>
      </w:r>
      <w:r w:rsidRPr="006A52A8">
        <w:rPr>
          <w:lang w:eastAsia="ko-KR"/>
        </w:rPr>
        <w:t>storm due to group handover</w:t>
      </w:r>
      <w:r w:rsidRPr="006A52A8">
        <w:rPr>
          <w:lang w:eastAsia="ko-KR"/>
        </w:rPr>
        <w:t>.</w:t>
      </w:r>
      <w:r w:rsidR="00D15B08">
        <w:rPr>
          <w:lang w:eastAsia="ko-KR"/>
        </w:rPr>
        <w:t xml:space="preserve"> The number of passengers can be 1000+ for a train.</w:t>
      </w:r>
    </w:p>
    <w:p w14:paraId="72DD4201" w14:textId="6D5F2C9C" w:rsidR="00194C1F" w:rsidRDefault="00194C1F" w:rsidP="00194C1F">
      <w:pPr>
        <w:spacing w:after="180" w:line="336" w:lineRule="auto"/>
        <w:rPr>
          <w:lang w:val="en-US" w:eastAsia="ko-KR"/>
        </w:rPr>
      </w:pPr>
      <w:r>
        <w:rPr>
          <w:lang w:val="en-US" w:eastAsia="ko-KR"/>
        </w:rPr>
        <w:lastRenderedPageBreak/>
        <w:t>Another possible scenario for IAB is the Non-Terrestrial Network (NTN) scenario where a satellite can be used to provide 5G service. In this scenario, IAB nodes connected to the satellite through the NTN backhaul link can be used to provide access to the UEs.</w:t>
      </w:r>
    </w:p>
    <w:p w14:paraId="6BE8E01E" w14:textId="4953BDEA" w:rsidR="00194C1F" w:rsidRDefault="00194C1F" w:rsidP="00194C1F">
      <w:pPr>
        <w:spacing w:after="180" w:line="336" w:lineRule="auto"/>
        <w:rPr>
          <w:lang w:val="en-US" w:eastAsia="ko-KR"/>
        </w:rPr>
      </w:pPr>
      <w:r>
        <w:rPr>
          <w:lang w:val="en-US" w:eastAsia="ko-KR"/>
        </w:rPr>
        <w:t xml:space="preserve">In order to ensure forward compatibility with these potential future IAB scenarios, Rel-17 IAB enhancements specification needs to </w:t>
      </w:r>
      <w:r w:rsidR="00986BCD">
        <w:rPr>
          <w:lang w:val="en-US" w:eastAsia="ko-KR"/>
        </w:rPr>
        <w:t xml:space="preserve">consider </w:t>
      </w:r>
      <w:r w:rsidR="009A1958">
        <w:rPr>
          <w:lang w:val="en-US" w:eastAsia="ko-KR"/>
        </w:rPr>
        <w:t>the following aspects:</w:t>
      </w:r>
    </w:p>
    <w:p w14:paraId="4E9AED83" w14:textId="6D5D0A8D" w:rsidR="009A1958" w:rsidRDefault="009A1958" w:rsidP="009A1958">
      <w:pPr>
        <w:pStyle w:val="afb"/>
        <w:numPr>
          <w:ilvl w:val="1"/>
          <w:numId w:val="16"/>
        </w:numPr>
        <w:spacing w:after="100" w:afterAutospacing="1" w:line="336" w:lineRule="auto"/>
        <w:ind w:leftChars="0" w:left="1202" w:hanging="403"/>
        <w:rPr>
          <w:lang w:eastAsia="ko-KR"/>
        </w:rPr>
      </w:pPr>
      <w:r w:rsidRPr="009A1958">
        <w:rPr>
          <w:rFonts w:hint="eastAsia"/>
          <w:lang w:eastAsia="ko-KR"/>
        </w:rPr>
        <w:t>I</w:t>
      </w:r>
      <w:r w:rsidRPr="009A1958">
        <w:rPr>
          <w:lang w:eastAsia="ko-KR"/>
        </w:rPr>
        <w:t xml:space="preserve">AB mobility: </w:t>
      </w:r>
      <w:r w:rsidR="00986BCD">
        <w:rPr>
          <w:lang w:eastAsia="ko-KR"/>
        </w:rPr>
        <w:t xml:space="preserve">When the IAB nodes are mobile, timing alignment and power control need to be more dynamic and flexible. In addition, these increased </w:t>
      </w:r>
      <w:proofErr w:type="spellStart"/>
      <w:r w:rsidR="00986BCD">
        <w:rPr>
          <w:lang w:eastAsia="ko-KR"/>
        </w:rPr>
        <w:t>dynamicness</w:t>
      </w:r>
      <w:proofErr w:type="spellEnd"/>
      <w:r w:rsidR="00986BCD">
        <w:rPr>
          <w:lang w:eastAsia="ko-KR"/>
        </w:rPr>
        <w:t xml:space="preserve"> and flexibility are also beneficial to fixed IAB nodes since the backhaul and access links can be time-varying since surrounding objects can be mobile.</w:t>
      </w:r>
    </w:p>
    <w:p w14:paraId="20785DD6" w14:textId="6180A194" w:rsidR="009A1958" w:rsidRDefault="009A1958" w:rsidP="009A1958">
      <w:pPr>
        <w:pStyle w:val="afb"/>
        <w:numPr>
          <w:ilvl w:val="1"/>
          <w:numId w:val="16"/>
        </w:numPr>
        <w:spacing w:after="100" w:afterAutospacing="1" w:line="336" w:lineRule="auto"/>
        <w:ind w:leftChars="0" w:left="1202" w:hanging="403"/>
        <w:rPr>
          <w:lang w:eastAsia="ko-KR"/>
        </w:rPr>
      </w:pPr>
      <w:r>
        <w:rPr>
          <w:lang w:eastAsia="ko-KR"/>
        </w:rPr>
        <w:t xml:space="preserve">Backhaul link with long delay: </w:t>
      </w:r>
      <w:r w:rsidR="00986BCD">
        <w:rPr>
          <w:lang w:eastAsia="ko-KR"/>
        </w:rPr>
        <w:t>For the IAB nodes with NTN-type backhaul link</w:t>
      </w:r>
      <w:r w:rsidR="00160CC0">
        <w:rPr>
          <w:lang w:eastAsia="ko-KR"/>
        </w:rPr>
        <w:t>s</w:t>
      </w:r>
      <w:r w:rsidR="00986BCD">
        <w:rPr>
          <w:lang w:eastAsia="ko-KR"/>
        </w:rPr>
        <w:t xml:space="preserve">, latency can be much longer. In this case, the dynamic range </w:t>
      </w:r>
      <w:bookmarkStart w:id="2" w:name="_GoBack"/>
      <w:bookmarkEnd w:id="2"/>
      <w:r w:rsidR="00986BCD">
        <w:rPr>
          <w:lang w:eastAsia="ko-KR"/>
        </w:rPr>
        <w:t>of timing alignment needs to be much larger.</w:t>
      </w:r>
    </w:p>
    <w:p w14:paraId="260FC002" w14:textId="306310B0" w:rsidR="00986BCD" w:rsidRPr="00970948" w:rsidRDefault="00986BCD" w:rsidP="00986BCD">
      <w:pPr>
        <w:spacing w:after="100" w:afterAutospacing="1" w:line="336" w:lineRule="auto"/>
        <w:rPr>
          <w:lang w:eastAsia="ko-KR"/>
        </w:rPr>
      </w:pPr>
      <w:r w:rsidRPr="00986BCD">
        <w:rPr>
          <w:b/>
          <w:lang w:eastAsia="ko-KR"/>
        </w:rPr>
        <w:t>Proposal 1</w:t>
      </w:r>
      <w:r w:rsidRPr="00970948">
        <w:rPr>
          <w:lang w:eastAsia="ko-KR"/>
        </w:rPr>
        <w:t>:</w:t>
      </w:r>
      <w:r w:rsidRPr="00986BCD">
        <w:rPr>
          <w:b/>
          <w:lang w:eastAsia="ko-KR"/>
        </w:rPr>
        <w:t xml:space="preserve"> </w:t>
      </w:r>
      <w:r w:rsidRPr="00970948">
        <w:rPr>
          <w:lang w:eastAsia="ko-KR"/>
        </w:rPr>
        <w:t>Rel-17 IAB enhancements specification need to provide</w:t>
      </w:r>
      <w:r w:rsidR="00BB7000">
        <w:rPr>
          <w:lang w:eastAsia="ko-KR"/>
        </w:rPr>
        <w:t xml:space="preserve"> some</w:t>
      </w:r>
      <w:r w:rsidRPr="00970948">
        <w:rPr>
          <w:lang w:eastAsia="ko-KR"/>
        </w:rPr>
        <w:t xml:space="preserve"> flexibility for forward compatibility.</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3F0469E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 xml:space="preserve">NR V2X </w:t>
      </w:r>
      <w:proofErr w:type="spellStart"/>
      <w:r w:rsidR="00682CEB">
        <w:rPr>
          <w:szCs w:val="22"/>
          <w:lang w:eastAsia="ko-KR"/>
        </w:rPr>
        <w:t>sidelink</w:t>
      </w:r>
      <w:proofErr w:type="spellEnd"/>
      <w:r w:rsidR="00682CEB">
        <w:rPr>
          <w:szCs w:val="22"/>
          <w:lang w:eastAsia="ko-KR"/>
        </w:rPr>
        <w:t xml:space="preserve"> synchronization </w:t>
      </w:r>
      <w:r w:rsidR="00527859">
        <w:rPr>
          <w:szCs w:val="22"/>
          <w:lang w:eastAsia="ko-KR"/>
        </w:rPr>
        <w:t>mechanism</w:t>
      </w:r>
      <w:r w:rsidR="00FC0FFA">
        <w:rPr>
          <w:szCs w:val="22"/>
          <w:lang w:eastAsia="ko-KR"/>
        </w:rPr>
        <w:t>.</w:t>
      </w:r>
      <w:r w:rsidR="001209CB">
        <w:rPr>
          <w:rFonts w:hint="eastAsia"/>
          <w:szCs w:val="22"/>
          <w:lang w:eastAsia="ko-KR"/>
        </w:rPr>
        <w:t xml:space="preserve"> </w:t>
      </w:r>
      <w:r w:rsidR="000729F4">
        <w:rPr>
          <w:szCs w:val="22"/>
          <w:lang w:eastAsia="ko-KR"/>
        </w:rPr>
        <w:t>Our proposal</w:t>
      </w:r>
      <w:r w:rsidR="00527859">
        <w:rPr>
          <w:szCs w:val="22"/>
          <w:lang w:eastAsia="ko-KR"/>
        </w:rPr>
        <w:t>s</w:t>
      </w:r>
      <w:r w:rsidR="000729F4">
        <w:rPr>
          <w:szCs w:val="22"/>
          <w:lang w:eastAsia="ko-KR"/>
        </w:rPr>
        <w:t xml:space="preserve"> are reproduced below:</w:t>
      </w:r>
    </w:p>
    <w:p w14:paraId="275F3BF4" w14:textId="7513AFEB" w:rsidR="00527859" w:rsidRDefault="00527859" w:rsidP="00527859">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194C1F">
        <w:rPr>
          <w:lang w:eastAsia="ko-KR"/>
        </w:rPr>
        <w:t xml:space="preserve">Rel-17 IAB enhancements specification need to </w:t>
      </w:r>
      <w:r w:rsidR="00CF5432">
        <w:rPr>
          <w:lang w:eastAsia="ko-KR"/>
        </w:rPr>
        <w:t xml:space="preserve">provide </w:t>
      </w:r>
      <w:r w:rsidR="00BB7000">
        <w:rPr>
          <w:lang w:eastAsia="ko-KR"/>
        </w:rPr>
        <w:t xml:space="preserve">some </w:t>
      </w:r>
      <w:r w:rsidR="00CF5432">
        <w:rPr>
          <w:lang w:eastAsia="ko-KR"/>
        </w:rPr>
        <w:t xml:space="preserve">flexibility for </w:t>
      </w:r>
      <w:r w:rsidR="00194C1F">
        <w:rPr>
          <w:lang w:eastAsia="ko-KR"/>
        </w:rPr>
        <w:t>forward compatibility.</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B9487C2" w14:textId="61D43951" w:rsidR="007C5DCD" w:rsidRDefault="00F8193D" w:rsidP="00F8193D">
      <w:pPr>
        <w:numPr>
          <w:ilvl w:val="0"/>
          <w:numId w:val="6"/>
        </w:numPr>
        <w:tabs>
          <w:tab w:val="left" w:pos="810"/>
        </w:tabs>
        <w:spacing w:after="180"/>
        <w:contextualSpacing/>
        <w:rPr>
          <w:lang w:eastAsia="ko-KR"/>
        </w:rPr>
      </w:pPr>
      <w:bookmarkStart w:id="3" w:name="_Ref5102338"/>
      <w:bookmarkStart w:id="4" w:name="_Ref54370843"/>
      <w:r w:rsidRPr="0023569B">
        <w:rPr>
          <w:kern w:val="2"/>
          <w:lang w:eastAsia="zh-CN"/>
        </w:rPr>
        <w:t>RP-</w:t>
      </w:r>
      <w:r>
        <w:rPr>
          <w:kern w:val="2"/>
          <w:lang w:eastAsia="zh-CN"/>
        </w:rPr>
        <w:t>193251, “</w:t>
      </w:r>
      <w:r w:rsidRPr="0023569B">
        <w:rPr>
          <w:kern w:val="2"/>
          <w:lang w:eastAsia="zh-CN"/>
        </w:rPr>
        <w:t>New WID on Enhancements to Integrated Access and Backhaul</w:t>
      </w:r>
      <w:r>
        <w:rPr>
          <w:kern w:val="2"/>
          <w:lang w:eastAsia="zh-CN"/>
        </w:rPr>
        <w:t xml:space="preserve">,” </w:t>
      </w:r>
      <w:bookmarkEnd w:id="3"/>
      <w:r>
        <w:rPr>
          <w:kern w:val="2"/>
          <w:lang w:eastAsia="zh-CN"/>
        </w:rPr>
        <w:t>Dec. 2019.</w:t>
      </w:r>
      <w:bookmarkEnd w:id="4"/>
    </w:p>
    <w:sectPr w:rsidR="007C5DCD"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E28F2" w14:textId="77777777" w:rsidR="00D3299E" w:rsidRDefault="00D3299E">
      <w:r>
        <w:separator/>
      </w:r>
    </w:p>
  </w:endnote>
  <w:endnote w:type="continuationSeparator" w:id="0">
    <w:p w14:paraId="4DBA9836" w14:textId="77777777" w:rsidR="00D3299E" w:rsidRDefault="00D3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B31AE" w14:textId="77777777" w:rsidR="00D3299E" w:rsidRDefault="00D3299E">
      <w:r>
        <w:separator/>
      </w:r>
    </w:p>
  </w:footnote>
  <w:footnote w:type="continuationSeparator" w:id="0">
    <w:p w14:paraId="27023E8B" w14:textId="77777777" w:rsidR="00D3299E" w:rsidRDefault="00D3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1"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6"/>
  </w:num>
  <w:num w:numId="4">
    <w:abstractNumId w:val="24"/>
  </w:num>
  <w:num w:numId="5">
    <w:abstractNumId w:val="1"/>
  </w:num>
  <w:num w:numId="6">
    <w:abstractNumId w:val="5"/>
  </w:num>
  <w:num w:numId="7">
    <w:abstractNumId w:val="13"/>
  </w:num>
  <w:num w:numId="8">
    <w:abstractNumId w:val="22"/>
  </w:num>
  <w:num w:numId="9">
    <w:abstractNumId w:val="4"/>
  </w:num>
  <w:num w:numId="10">
    <w:abstractNumId w:val="7"/>
  </w:num>
  <w:num w:numId="11">
    <w:abstractNumId w:val="8"/>
  </w:num>
  <w:num w:numId="12">
    <w:abstractNumId w:val="14"/>
  </w:num>
  <w:num w:numId="13">
    <w:abstractNumId w:val="16"/>
  </w:num>
  <w:num w:numId="14">
    <w:abstractNumId w:val="17"/>
  </w:num>
  <w:num w:numId="15">
    <w:abstractNumId w:val="26"/>
  </w:num>
  <w:num w:numId="16">
    <w:abstractNumId w:val="2"/>
  </w:num>
  <w:num w:numId="17">
    <w:abstractNumId w:val="12"/>
  </w:num>
  <w:num w:numId="18">
    <w:abstractNumId w:val="9"/>
  </w:num>
  <w:num w:numId="19">
    <w:abstractNumId w:val="21"/>
  </w:num>
  <w:num w:numId="20">
    <w:abstractNumId w:val="20"/>
  </w:num>
  <w:num w:numId="21">
    <w:abstractNumId w:val="25"/>
  </w:num>
  <w:num w:numId="22">
    <w:abstractNumId w:val="3"/>
  </w:num>
  <w:num w:numId="23">
    <w:abstractNumId w:val="15"/>
  </w:num>
  <w:num w:numId="24">
    <w:abstractNumId w:val="23"/>
  </w:num>
  <w:num w:numId="25">
    <w:abstractNumId w:val="18"/>
  </w:num>
  <w:num w:numId="26">
    <w:abstractNumId w:val="11"/>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8FE"/>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10"/>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93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CC0"/>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C1F"/>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48D"/>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0F"/>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6D"/>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148"/>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59"/>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6CA"/>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A55"/>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3BDF"/>
    <w:rsid w:val="006A4338"/>
    <w:rsid w:val="006A480F"/>
    <w:rsid w:val="006A52A8"/>
    <w:rsid w:val="006A534C"/>
    <w:rsid w:val="006A5BDD"/>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7D0"/>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C26"/>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5AA"/>
    <w:rsid w:val="007A4B86"/>
    <w:rsid w:val="007A51B4"/>
    <w:rsid w:val="007A51DF"/>
    <w:rsid w:val="007A5F82"/>
    <w:rsid w:val="007A60CA"/>
    <w:rsid w:val="007A6177"/>
    <w:rsid w:val="007A7892"/>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084"/>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6F9"/>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1DD"/>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04D"/>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00F"/>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0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942"/>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0948"/>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BCD"/>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958"/>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229"/>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000"/>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AC0"/>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81B"/>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8"/>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003"/>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32"/>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4C73"/>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08"/>
    <w:rsid w:val="00D15BBE"/>
    <w:rsid w:val="00D15E8E"/>
    <w:rsid w:val="00D162D2"/>
    <w:rsid w:val="00D166A0"/>
    <w:rsid w:val="00D16C8E"/>
    <w:rsid w:val="00D17D4D"/>
    <w:rsid w:val="00D17FEA"/>
    <w:rsid w:val="00D202A3"/>
    <w:rsid w:val="00D204BF"/>
    <w:rsid w:val="00D20A43"/>
    <w:rsid w:val="00D212BC"/>
    <w:rsid w:val="00D21D11"/>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99E"/>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E67"/>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23"/>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28"/>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09C"/>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11"/>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68"/>
    <w:rsid w:val="00F770D1"/>
    <w:rsid w:val="00F770EA"/>
    <w:rsid w:val="00F771F3"/>
    <w:rsid w:val="00F77246"/>
    <w:rsid w:val="00F77674"/>
    <w:rsid w:val="00F77DE0"/>
    <w:rsid w:val="00F80043"/>
    <w:rsid w:val="00F80C08"/>
    <w:rsid w:val="00F81252"/>
    <w:rsid w:val="00F81888"/>
    <w:rsid w:val="00F8193D"/>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6E02"/>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86BCD"/>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列表段落11,목록단락,Task Body"/>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C8EE8-C620-4782-91E3-3DF613B8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532</Words>
  <Characters>3037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Gosan-Laptop</cp:lastModifiedBy>
  <cp:revision>42</cp:revision>
  <cp:lastPrinted>2014-05-09T11:56:00Z</cp:lastPrinted>
  <dcterms:created xsi:type="dcterms:W3CDTF">2019-02-15T14:20:00Z</dcterms:created>
  <dcterms:modified xsi:type="dcterms:W3CDTF">2020-10-23T14:33:00Z</dcterms:modified>
  <cp:category/>
</cp:coreProperties>
</file>